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00B85" w14:textId="77777777" w:rsidR="00B80F3A" w:rsidRPr="00C236B6" w:rsidRDefault="00B80F3A" w:rsidP="003C665A">
      <w:pPr>
        <w:spacing w:before="240" w:line="240" w:lineRule="auto"/>
        <w:rPr>
          <w:rFonts w:ascii="Arial" w:hAnsi="Arial" w:cs="Arial"/>
          <w:b/>
          <w:sz w:val="24"/>
          <w:szCs w:val="24"/>
          <w:u w:val="single"/>
        </w:rPr>
      </w:pPr>
      <w:r w:rsidRPr="00C236B6">
        <w:rPr>
          <w:rFonts w:ascii="Arial" w:hAnsi="Arial" w:cs="Arial"/>
          <w:b/>
          <w:sz w:val="24"/>
          <w:szCs w:val="24"/>
          <w:u w:val="single"/>
        </w:rPr>
        <w:t>CPIP assessment for children with GMFCS level</w:t>
      </w:r>
      <w:r w:rsidR="003D1626" w:rsidRPr="00C236B6">
        <w:rPr>
          <w:rFonts w:ascii="Arial" w:hAnsi="Arial" w:cs="Arial"/>
          <w:b/>
          <w:sz w:val="24"/>
          <w:szCs w:val="24"/>
          <w:u w:val="single"/>
        </w:rPr>
        <w:t xml:space="preserve"> 4-</w:t>
      </w:r>
      <w:r w:rsidRPr="00C236B6">
        <w:rPr>
          <w:rFonts w:ascii="Arial" w:hAnsi="Arial" w:cs="Arial"/>
          <w:b/>
          <w:sz w:val="24"/>
          <w:szCs w:val="24"/>
          <w:u w:val="single"/>
        </w:rPr>
        <w:t xml:space="preserve"> 5 CP</w:t>
      </w:r>
    </w:p>
    <w:p w14:paraId="5AA6BB8A" w14:textId="77777777" w:rsidR="00B80F3A" w:rsidRPr="00C236B6" w:rsidRDefault="00B80F3A" w:rsidP="003C665A">
      <w:pPr>
        <w:spacing w:before="240" w:line="240" w:lineRule="auto"/>
        <w:rPr>
          <w:rFonts w:ascii="Arial" w:hAnsi="Arial" w:cs="Arial"/>
          <w:sz w:val="24"/>
          <w:szCs w:val="24"/>
        </w:rPr>
      </w:pPr>
      <w:r w:rsidRPr="00C236B6">
        <w:rPr>
          <w:rFonts w:ascii="Arial" w:hAnsi="Arial" w:cs="Arial"/>
          <w:sz w:val="24"/>
          <w:szCs w:val="24"/>
        </w:rPr>
        <w:t>T</w:t>
      </w:r>
      <w:r w:rsidR="003D1626" w:rsidRPr="00C236B6">
        <w:rPr>
          <w:rFonts w:ascii="Arial" w:hAnsi="Arial" w:cs="Arial"/>
          <w:sz w:val="24"/>
          <w:szCs w:val="24"/>
        </w:rPr>
        <w:t>he NICE guideline (Cerebral palsy in under 25s: assessment and management NICE guideline [NG62] Published: 25 January 2017)</w:t>
      </w:r>
      <w:r w:rsidR="00356249" w:rsidRPr="00C236B6">
        <w:rPr>
          <w:rFonts w:ascii="Arial" w:hAnsi="Arial" w:cs="Arial"/>
          <w:sz w:val="24"/>
          <w:szCs w:val="24"/>
        </w:rPr>
        <w:t xml:space="preserve"> advise</w:t>
      </w:r>
      <w:r w:rsidR="003D1626" w:rsidRPr="00C236B6">
        <w:rPr>
          <w:rFonts w:ascii="Arial" w:hAnsi="Arial" w:cs="Arial"/>
          <w:sz w:val="24"/>
          <w:szCs w:val="24"/>
        </w:rPr>
        <w:t>s</w:t>
      </w:r>
      <w:r w:rsidR="00356249" w:rsidRPr="00C236B6">
        <w:rPr>
          <w:rFonts w:ascii="Arial" w:hAnsi="Arial" w:cs="Arial"/>
          <w:sz w:val="24"/>
          <w:szCs w:val="24"/>
        </w:rPr>
        <w:t xml:space="preserve"> </w:t>
      </w:r>
      <w:r w:rsidR="00356249" w:rsidRPr="00C236B6">
        <w:rPr>
          <w:rFonts w:ascii="Arial" w:hAnsi="Arial" w:cs="Arial"/>
          <w:color w:val="0E0E0E"/>
          <w:sz w:val="24"/>
          <w:szCs w:val="24"/>
        </w:rPr>
        <w:t xml:space="preserve">that </w:t>
      </w:r>
      <w:r w:rsidRPr="00C236B6">
        <w:rPr>
          <w:rFonts w:ascii="Arial" w:hAnsi="Arial" w:cs="Arial"/>
          <w:color w:val="0E0E0E"/>
          <w:sz w:val="24"/>
          <w:szCs w:val="24"/>
        </w:rPr>
        <w:t>children and youn</w:t>
      </w:r>
      <w:r w:rsidR="00356249" w:rsidRPr="00C236B6">
        <w:rPr>
          <w:rFonts w:ascii="Arial" w:hAnsi="Arial" w:cs="Arial"/>
          <w:color w:val="0E0E0E"/>
          <w:sz w:val="24"/>
          <w:szCs w:val="24"/>
        </w:rPr>
        <w:t xml:space="preserve">g people with cerebral </w:t>
      </w:r>
      <w:r w:rsidR="003D1626" w:rsidRPr="00C236B6">
        <w:rPr>
          <w:rFonts w:ascii="Arial" w:hAnsi="Arial" w:cs="Arial"/>
          <w:color w:val="0E0E0E"/>
          <w:sz w:val="24"/>
          <w:szCs w:val="24"/>
        </w:rPr>
        <w:t>palsy who have</w:t>
      </w:r>
      <w:r w:rsidR="00356249" w:rsidRPr="00C236B6">
        <w:rPr>
          <w:rFonts w:ascii="Arial" w:hAnsi="Arial" w:cs="Arial"/>
          <w:color w:val="0E0E0E"/>
          <w:sz w:val="24"/>
          <w:szCs w:val="24"/>
        </w:rPr>
        <w:t xml:space="preserve"> the below criteria are at risk of having </w:t>
      </w:r>
      <w:r w:rsidRPr="00C236B6">
        <w:rPr>
          <w:rFonts w:ascii="Arial" w:hAnsi="Arial" w:cs="Arial"/>
          <w:color w:val="0E0E0E"/>
          <w:sz w:val="24"/>
          <w:szCs w:val="24"/>
        </w:rPr>
        <w:t>low bone mineral density</w:t>
      </w:r>
      <w:r w:rsidR="00356249" w:rsidRPr="00C236B6">
        <w:rPr>
          <w:rFonts w:ascii="Arial" w:hAnsi="Arial" w:cs="Arial"/>
          <w:color w:val="0E0E0E"/>
          <w:sz w:val="24"/>
          <w:szCs w:val="24"/>
        </w:rPr>
        <w:t xml:space="preserve"> and therefore have an increased risk of low impact fractures</w:t>
      </w:r>
      <w:r w:rsidRPr="00C236B6">
        <w:rPr>
          <w:rFonts w:ascii="Arial" w:hAnsi="Arial" w:cs="Arial"/>
          <w:color w:val="0E0E0E"/>
          <w:sz w:val="24"/>
          <w:szCs w:val="24"/>
        </w:rPr>
        <w:t>:</w:t>
      </w:r>
    </w:p>
    <w:p w14:paraId="49758F40" w14:textId="77777777" w:rsidR="00B80F3A" w:rsidRPr="00C236B6" w:rsidRDefault="00B80F3A" w:rsidP="003C665A">
      <w:pPr>
        <w:pStyle w:val="NormalWeb"/>
        <w:numPr>
          <w:ilvl w:val="0"/>
          <w:numId w:val="1"/>
        </w:numPr>
        <w:shd w:val="clear" w:color="auto" w:fill="FAFAFB"/>
        <w:spacing w:before="240" w:beforeAutospacing="0" w:after="180" w:afterAutospacing="0"/>
        <w:ind w:left="360"/>
        <w:rPr>
          <w:rFonts w:ascii="Arial" w:hAnsi="Arial" w:cs="Arial"/>
          <w:color w:val="0E0E0E"/>
        </w:rPr>
      </w:pPr>
      <w:r w:rsidRPr="00C236B6">
        <w:rPr>
          <w:rFonts w:ascii="Arial" w:hAnsi="Arial" w:cs="Arial"/>
          <w:color w:val="0E0E0E"/>
        </w:rPr>
        <w:t>non-ambulant (GMFCS level IV or V)</w:t>
      </w:r>
    </w:p>
    <w:p w14:paraId="3E05563A" w14:textId="77777777" w:rsidR="00B80F3A" w:rsidRPr="00C236B6" w:rsidRDefault="00B80F3A" w:rsidP="003C665A">
      <w:pPr>
        <w:pStyle w:val="NormalWeb"/>
        <w:numPr>
          <w:ilvl w:val="0"/>
          <w:numId w:val="1"/>
        </w:numPr>
        <w:shd w:val="clear" w:color="auto" w:fill="FAFAFB"/>
        <w:spacing w:before="240" w:beforeAutospacing="0" w:after="180" w:afterAutospacing="0"/>
        <w:ind w:left="360"/>
        <w:rPr>
          <w:rFonts w:ascii="Arial" w:hAnsi="Arial" w:cs="Arial"/>
          <w:color w:val="0E0E0E"/>
        </w:rPr>
      </w:pPr>
      <w:r w:rsidRPr="00C236B6">
        <w:rPr>
          <w:rFonts w:ascii="Arial" w:hAnsi="Arial" w:cs="Arial"/>
          <w:color w:val="0E0E0E"/>
        </w:rPr>
        <w:t>vitamin D deficiency</w:t>
      </w:r>
    </w:p>
    <w:p w14:paraId="6DC9CFF3" w14:textId="77777777" w:rsidR="00B80F3A" w:rsidRPr="00C236B6" w:rsidRDefault="00B80F3A" w:rsidP="003C665A">
      <w:pPr>
        <w:pStyle w:val="NormalWeb"/>
        <w:numPr>
          <w:ilvl w:val="0"/>
          <w:numId w:val="1"/>
        </w:numPr>
        <w:shd w:val="clear" w:color="auto" w:fill="FAFAFB"/>
        <w:spacing w:before="240" w:beforeAutospacing="0" w:after="180" w:afterAutospacing="0"/>
        <w:ind w:left="360"/>
        <w:rPr>
          <w:rFonts w:ascii="Arial" w:hAnsi="Arial" w:cs="Arial"/>
          <w:color w:val="0E0E0E"/>
        </w:rPr>
      </w:pPr>
      <w:r w:rsidRPr="00C236B6">
        <w:rPr>
          <w:rFonts w:ascii="Arial" w:hAnsi="Arial" w:cs="Arial"/>
          <w:color w:val="0E0E0E"/>
        </w:rPr>
        <w:t>presence of eating, drinking and swallowing difficulties or concerns about nutritional status</w:t>
      </w:r>
    </w:p>
    <w:p w14:paraId="723B9828" w14:textId="77777777" w:rsidR="00B80F3A" w:rsidRPr="00C236B6" w:rsidRDefault="00B80F3A" w:rsidP="003C665A">
      <w:pPr>
        <w:pStyle w:val="NormalWeb"/>
        <w:numPr>
          <w:ilvl w:val="0"/>
          <w:numId w:val="1"/>
        </w:numPr>
        <w:shd w:val="clear" w:color="auto" w:fill="FAFAFB"/>
        <w:spacing w:before="240" w:beforeAutospacing="0" w:after="180" w:afterAutospacing="0"/>
        <w:ind w:left="360"/>
        <w:rPr>
          <w:rFonts w:ascii="Arial" w:hAnsi="Arial" w:cs="Arial"/>
          <w:color w:val="0E0E0E"/>
        </w:rPr>
      </w:pPr>
      <w:r w:rsidRPr="00C236B6">
        <w:rPr>
          <w:rFonts w:ascii="Arial" w:hAnsi="Arial" w:cs="Arial"/>
          <w:color w:val="0E0E0E"/>
        </w:rPr>
        <w:t>low weight for age (below the 2nd centile)</w:t>
      </w:r>
    </w:p>
    <w:p w14:paraId="0BBC39B6" w14:textId="7F3D96B8" w:rsidR="00900892" w:rsidRPr="00C236B6" w:rsidRDefault="00B80F3A" w:rsidP="00900892">
      <w:pPr>
        <w:pStyle w:val="NormalWeb"/>
        <w:numPr>
          <w:ilvl w:val="0"/>
          <w:numId w:val="1"/>
        </w:numPr>
        <w:shd w:val="clear" w:color="auto" w:fill="FAFAFB"/>
        <w:spacing w:before="240" w:beforeAutospacing="0" w:after="180" w:afterAutospacing="0"/>
        <w:ind w:left="360"/>
        <w:rPr>
          <w:rFonts w:ascii="Arial" w:hAnsi="Arial" w:cs="Arial"/>
          <w:color w:val="0E0E0E"/>
        </w:rPr>
      </w:pPr>
      <w:r w:rsidRPr="00C236B6">
        <w:rPr>
          <w:rFonts w:ascii="Arial" w:hAnsi="Arial" w:cs="Arial"/>
          <w:color w:val="0E0E0E"/>
        </w:rPr>
        <w:t>history of low-impact fractur</w:t>
      </w:r>
      <w:r w:rsidR="00900892" w:rsidRPr="00C236B6">
        <w:rPr>
          <w:rFonts w:ascii="Arial" w:hAnsi="Arial" w:cs="Arial"/>
          <w:color w:val="0E0E0E"/>
        </w:rPr>
        <w:t>e</w:t>
      </w:r>
    </w:p>
    <w:p w14:paraId="5A24A349" w14:textId="77777777" w:rsidR="00B80F3A" w:rsidRPr="00C236B6" w:rsidRDefault="00B80F3A" w:rsidP="003C665A">
      <w:pPr>
        <w:pStyle w:val="NormalWeb"/>
        <w:numPr>
          <w:ilvl w:val="0"/>
          <w:numId w:val="1"/>
        </w:numPr>
        <w:shd w:val="clear" w:color="auto" w:fill="FAFAFB"/>
        <w:spacing w:before="240" w:beforeAutospacing="0" w:after="180" w:afterAutospacing="0"/>
        <w:ind w:left="360"/>
        <w:rPr>
          <w:rFonts w:ascii="Arial" w:hAnsi="Arial" w:cs="Arial"/>
          <w:color w:val="0E0E0E"/>
        </w:rPr>
      </w:pPr>
      <w:r w:rsidRPr="00C236B6">
        <w:rPr>
          <w:rFonts w:ascii="Arial" w:hAnsi="Arial" w:cs="Arial"/>
          <w:color w:val="0E0E0E"/>
        </w:rPr>
        <w:t>use of anticonvulsant medication.</w:t>
      </w:r>
    </w:p>
    <w:p w14:paraId="4A99088D" w14:textId="6AE5EE30" w:rsidR="00B80F3A" w:rsidRPr="00C236B6" w:rsidRDefault="00356249" w:rsidP="003C665A">
      <w:pPr>
        <w:pStyle w:val="NormalWeb"/>
        <w:shd w:val="clear" w:color="auto" w:fill="FAFAFB"/>
        <w:spacing w:before="240" w:beforeAutospacing="0" w:after="180" w:afterAutospacing="0"/>
        <w:rPr>
          <w:rFonts w:ascii="Arial" w:hAnsi="Arial" w:cs="Arial"/>
          <w:color w:val="0E0E0E"/>
        </w:rPr>
      </w:pPr>
      <w:r w:rsidRPr="00C236B6">
        <w:rPr>
          <w:rFonts w:ascii="Arial" w:hAnsi="Arial" w:cs="Arial"/>
          <w:color w:val="0E0E0E"/>
        </w:rPr>
        <w:t>It is advised that health professionals recognise the increased risk and inform the children,</w:t>
      </w:r>
      <w:r w:rsidR="00B80F3A" w:rsidRPr="00C236B6">
        <w:rPr>
          <w:rFonts w:ascii="Arial" w:hAnsi="Arial" w:cs="Arial"/>
          <w:color w:val="0E0E0E"/>
        </w:rPr>
        <w:t xml:space="preserve"> </w:t>
      </w:r>
      <w:r w:rsidRPr="00C236B6">
        <w:rPr>
          <w:rFonts w:ascii="Arial" w:hAnsi="Arial" w:cs="Arial"/>
          <w:color w:val="0E0E0E"/>
        </w:rPr>
        <w:t>young people</w:t>
      </w:r>
      <w:r w:rsidR="003D1626" w:rsidRPr="00C236B6">
        <w:rPr>
          <w:rFonts w:ascii="Arial" w:hAnsi="Arial" w:cs="Arial"/>
          <w:color w:val="0E0E0E"/>
        </w:rPr>
        <w:t xml:space="preserve"> and their parents and </w:t>
      </w:r>
      <w:r w:rsidRPr="00C236B6">
        <w:rPr>
          <w:rFonts w:ascii="Arial" w:hAnsi="Arial" w:cs="Arial"/>
          <w:color w:val="0E0E0E"/>
        </w:rPr>
        <w:t xml:space="preserve">carers. </w:t>
      </w:r>
      <w:r w:rsidR="003C665A" w:rsidRPr="00C236B6">
        <w:rPr>
          <w:rFonts w:ascii="Arial" w:hAnsi="Arial" w:cs="Arial"/>
          <w:color w:val="0E0E0E"/>
        </w:rPr>
        <w:t xml:space="preserve">If identified as at </w:t>
      </w:r>
      <w:r w:rsidR="00C546F6" w:rsidRPr="00C236B6">
        <w:rPr>
          <w:rFonts w:ascii="Arial" w:hAnsi="Arial" w:cs="Arial"/>
          <w:color w:val="0E0E0E"/>
        </w:rPr>
        <w:t>risk,</w:t>
      </w:r>
      <w:r w:rsidR="003C665A" w:rsidRPr="00C236B6">
        <w:rPr>
          <w:rFonts w:ascii="Arial" w:hAnsi="Arial" w:cs="Arial"/>
          <w:color w:val="0E0E0E"/>
        </w:rPr>
        <w:t xml:space="preserve"> then this should be considered when completing all assessment and treatment activities.</w:t>
      </w:r>
    </w:p>
    <w:p w14:paraId="6BE9EBAD" w14:textId="77777777" w:rsidR="00356249" w:rsidRPr="00C236B6" w:rsidRDefault="00B80F3A" w:rsidP="003C665A">
      <w:pPr>
        <w:pStyle w:val="numbered-paragraph"/>
        <w:shd w:val="clear" w:color="auto" w:fill="FAFAFB"/>
        <w:spacing w:before="240" w:beforeAutospacing="0" w:after="180" w:afterAutospacing="0"/>
        <w:rPr>
          <w:rFonts w:ascii="Arial" w:hAnsi="Arial" w:cs="Arial"/>
          <w:color w:val="0E0E0E"/>
        </w:rPr>
      </w:pPr>
      <w:r w:rsidRPr="00C236B6">
        <w:rPr>
          <w:rFonts w:ascii="Arial" w:hAnsi="Arial" w:cs="Arial"/>
          <w:color w:val="0E0E0E"/>
        </w:rPr>
        <w:t>The CPIP</w:t>
      </w:r>
      <w:r w:rsidR="00356249" w:rsidRPr="00C236B6">
        <w:rPr>
          <w:rFonts w:ascii="Arial" w:hAnsi="Arial" w:cs="Arial"/>
          <w:color w:val="0E0E0E"/>
        </w:rPr>
        <w:t xml:space="preserve"> pathway includes a standardised physical assessment. The measurements included are </w:t>
      </w:r>
      <w:r w:rsidRPr="00C236B6">
        <w:rPr>
          <w:rFonts w:ascii="Arial" w:hAnsi="Arial" w:cs="Arial"/>
          <w:color w:val="0E0E0E"/>
        </w:rPr>
        <w:t>a guideline</w:t>
      </w:r>
      <w:r w:rsidR="00356249" w:rsidRPr="00C236B6">
        <w:rPr>
          <w:rFonts w:ascii="Arial" w:hAnsi="Arial" w:cs="Arial"/>
          <w:color w:val="0E0E0E"/>
        </w:rPr>
        <w:t xml:space="preserve">. These help to </w:t>
      </w:r>
      <w:r w:rsidRPr="00C236B6">
        <w:rPr>
          <w:rFonts w:ascii="Arial" w:hAnsi="Arial" w:cs="Arial"/>
          <w:color w:val="0E0E0E"/>
        </w:rPr>
        <w:t>inform how the musculoskeletal changes associated with the growing child with cerebral</w:t>
      </w:r>
      <w:r w:rsidR="00356249" w:rsidRPr="00C236B6">
        <w:rPr>
          <w:rFonts w:ascii="Arial" w:hAnsi="Arial" w:cs="Arial"/>
          <w:color w:val="0E0E0E"/>
        </w:rPr>
        <w:t xml:space="preserve"> </w:t>
      </w:r>
      <w:r w:rsidR="003D1626" w:rsidRPr="00C236B6">
        <w:rPr>
          <w:rFonts w:ascii="Arial" w:hAnsi="Arial" w:cs="Arial"/>
          <w:color w:val="0E0E0E"/>
        </w:rPr>
        <w:t>palsy</w:t>
      </w:r>
      <w:r w:rsidRPr="00C236B6">
        <w:rPr>
          <w:rFonts w:ascii="Arial" w:hAnsi="Arial" w:cs="Arial"/>
          <w:color w:val="0E0E0E"/>
        </w:rPr>
        <w:t xml:space="preserve"> are affecting the child’</w:t>
      </w:r>
      <w:r w:rsidR="00356249" w:rsidRPr="00C236B6">
        <w:rPr>
          <w:rFonts w:ascii="Arial" w:hAnsi="Arial" w:cs="Arial"/>
          <w:color w:val="0E0E0E"/>
        </w:rPr>
        <w:t>s overall ability to function. The assessments are adapted for both children</w:t>
      </w:r>
      <w:r w:rsidR="003D1626" w:rsidRPr="00C236B6">
        <w:rPr>
          <w:rFonts w:ascii="Arial" w:hAnsi="Arial" w:cs="Arial"/>
          <w:color w:val="0E0E0E"/>
        </w:rPr>
        <w:t xml:space="preserve"> with GMFCS level 1-3 and</w:t>
      </w:r>
      <w:r w:rsidR="00356249" w:rsidRPr="00C236B6">
        <w:rPr>
          <w:rFonts w:ascii="Arial" w:hAnsi="Arial" w:cs="Arial"/>
          <w:color w:val="0E0E0E"/>
        </w:rPr>
        <w:t xml:space="preserve"> 4-5. The level 4-5 assessment limits changes of position of the child during the assessment to help maintain their comfort.</w:t>
      </w:r>
    </w:p>
    <w:p w14:paraId="08033F9E" w14:textId="410EC791" w:rsidR="00B80F3A" w:rsidRPr="00C236B6" w:rsidRDefault="00B80F3A" w:rsidP="003C665A">
      <w:pPr>
        <w:pStyle w:val="numbered-paragraph"/>
        <w:shd w:val="clear" w:color="auto" w:fill="FAFAFB"/>
        <w:spacing w:before="240" w:beforeAutospacing="0" w:after="180" w:afterAutospacing="0"/>
        <w:rPr>
          <w:rFonts w:ascii="Arial" w:hAnsi="Arial" w:cs="Arial"/>
          <w:color w:val="0E0E0E"/>
        </w:rPr>
      </w:pPr>
      <w:r w:rsidRPr="00C236B6">
        <w:rPr>
          <w:rFonts w:ascii="Arial" w:hAnsi="Arial" w:cs="Arial"/>
          <w:color w:val="0E0E0E"/>
        </w:rPr>
        <w:t>Knowing the range of movement of the child’s lower limbs all</w:t>
      </w:r>
      <w:r w:rsidR="00356249" w:rsidRPr="00C236B6">
        <w:rPr>
          <w:rFonts w:ascii="Arial" w:hAnsi="Arial" w:cs="Arial"/>
          <w:color w:val="0E0E0E"/>
        </w:rPr>
        <w:t>ows the assessor</w:t>
      </w:r>
      <w:r w:rsidRPr="00C236B6">
        <w:rPr>
          <w:rFonts w:ascii="Arial" w:hAnsi="Arial" w:cs="Arial"/>
          <w:color w:val="0E0E0E"/>
        </w:rPr>
        <w:t xml:space="preserve"> to refer on for appropriate treatment</w:t>
      </w:r>
      <w:r w:rsidR="00356249" w:rsidRPr="00C236B6">
        <w:rPr>
          <w:rFonts w:ascii="Arial" w:hAnsi="Arial" w:cs="Arial"/>
          <w:color w:val="0E0E0E"/>
        </w:rPr>
        <w:t xml:space="preserve"> if needed and</w:t>
      </w:r>
      <w:r w:rsidRPr="00C236B6">
        <w:rPr>
          <w:rFonts w:ascii="Arial" w:hAnsi="Arial" w:cs="Arial"/>
          <w:color w:val="0E0E0E"/>
        </w:rPr>
        <w:t xml:space="preserve"> informs how a child can access postural management equipment. Understanding the range of movement available is extremely impo</w:t>
      </w:r>
      <w:r w:rsidR="00356249" w:rsidRPr="00C236B6">
        <w:rPr>
          <w:rFonts w:ascii="Arial" w:hAnsi="Arial" w:cs="Arial"/>
          <w:color w:val="0E0E0E"/>
        </w:rPr>
        <w:t xml:space="preserve">rtant when considering positions and postural management equipment </w:t>
      </w:r>
      <w:r w:rsidRPr="00C236B6">
        <w:rPr>
          <w:rFonts w:ascii="Arial" w:hAnsi="Arial" w:cs="Arial"/>
          <w:color w:val="0E0E0E"/>
        </w:rPr>
        <w:t xml:space="preserve">to use with a child. </w:t>
      </w:r>
    </w:p>
    <w:p w14:paraId="7FAC35EF" w14:textId="3D70765E" w:rsidR="00356249" w:rsidRPr="00C236B6" w:rsidRDefault="00B80F3A" w:rsidP="003C665A">
      <w:pPr>
        <w:pStyle w:val="numbered-paragraph"/>
        <w:shd w:val="clear" w:color="auto" w:fill="FAFAFB"/>
        <w:spacing w:before="240" w:beforeAutospacing="0" w:after="180" w:afterAutospacing="0"/>
        <w:rPr>
          <w:rFonts w:ascii="Arial" w:hAnsi="Arial" w:cs="Arial"/>
          <w:color w:val="0E0E0E"/>
        </w:rPr>
      </w:pPr>
      <w:r w:rsidRPr="00C236B6">
        <w:rPr>
          <w:rFonts w:ascii="Arial" w:hAnsi="Arial" w:cs="Arial"/>
          <w:color w:val="0E0E0E"/>
        </w:rPr>
        <w:t>We would advise that movements are completed very gently</w:t>
      </w:r>
      <w:r w:rsidR="00C546F6" w:rsidRPr="00C236B6">
        <w:rPr>
          <w:rFonts w:ascii="Arial" w:hAnsi="Arial" w:cs="Arial"/>
          <w:color w:val="0E0E0E"/>
        </w:rPr>
        <w:t xml:space="preserve"> by an appropriately trained assessor, </w:t>
      </w:r>
      <w:r w:rsidRPr="00C236B6">
        <w:rPr>
          <w:rFonts w:ascii="Arial" w:hAnsi="Arial" w:cs="Arial"/>
          <w:color w:val="0E0E0E"/>
        </w:rPr>
        <w:t>to establish if a range of movemen</w:t>
      </w:r>
      <w:r w:rsidR="00356249" w:rsidRPr="00C236B6">
        <w:rPr>
          <w:rFonts w:ascii="Arial" w:hAnsi="Arial" w:cs="Arial"/>
          <w:color w:val="0E0E0E"/>
        </w:rPr>
        <w:t>t is available. If the assessor</w:t>
      </w:r>
      <w:r w:rsidRPr="00C236B6">
        <w:rPr>
          <w:rFonts w:ascii="Arial" w:hAnsi="Arial" w:cs="Arial"/>
          <w:color w:val="0E0E0E"/>
        </w:rPr>
        <w:t xml:space="preserve"> is concerned that the movement is </w:t>
      </w:r>
      <w:r w:rsidR="00C546F6" w:rsidRPr="00C236B6">
        <w:rPr>
          <w:rFonts w:ascii="Arial" w:hAnsi="Arial" w:cs="Arial"/>
          <w:color w:val="0E0E0E"/>
        </w:rPr>
        <w:t>limited or painful,</w:t>
      </w:r>
      <w:r w:rsidRPr="00C236B6">
        <w:rPr>
          <w:rFonts w:ascii="Arial" w:hAnsi="Arial" w:cs="Arial"/>
          <w:color w:val="0E0E0E"/>
        </w:rPr>
        <w:t xml:space="preserve"> they should stop due to the risk of</w:t>
      </w:r>
      <w:r w:rsidR="00356249" w:rsidRPr="00C236B6">
        <w:rPr>
          <w:rFonts w:ascii="Arial" w:hAnsi="Arial" w:cs="Arial"/>
          <w:color w:val="0E0E0E"/>
        </w:rPr>
        <w:t xml:space="preserve"> injury. If they are aware that the child has had </w:t>
      </w:r>
      <w:r w:rsidRPr="00C236B6">
        <w:rPr>
          <w:rFonts w:ascii="Arial" w:hAnsi="Arial" w:cs="Arial"/>
          <w:color w:val="0E0E0E"/>
        </w:rPr>
        <w:t xml:space="preserve">previous </w:t>
      </w:r>
      <w:r w:rsidR="00356249" w:rsidRPr="00C236B6">
        <w:rPr>
          <w:rFonts w:ascii="Arial" w:hAnsi="Arial" w:cs="Arial"/>
          <w:color w:val="0E0E0E"/>
        </w:rPr>
        <w:t xml:space="preserve">low impact </w:t>
      </w:r>
      <w:r w:rsidR="00C546F6" w:rsidRPr="00C236B6">
        <w:rPr>
          <w:rFonts w:ascii="Arial" w:hAnsi="Arial" w:cs="Arial"/>
          <w:color w:val="0E0E0E"/>
        </w:rPr>
        <w:t>fractures,</w:t>
      </w:r>
      <w:r w:rsidRPr="00C236B6">
        <w:rPr>
          <w:rFonts w:ascii="Arial" w:hAnsi="Arial" w:cs="Arial"/>
          <w:color w:val="0E0E0E"/>
        </w:rPr>
        <w:t xml:space="preserve"> they may feel that the risk of injury is too great to complete the assessment</w:t>
      </w:r>
      <w:r w:rsidR="00C546F6" w:rsidRPr="00C236B6">
        <w:rPr>
          <w:rFonts w:ascii="Arial" w:hAnsi="Arial" w:cs="Arial"/>
          <w:color w:val="0E0E0E"/>
        </w:rPr>
        <w:t xml:space="preserve"> and should</w:t>
      </w:r>
      <w:r w:rsidR="00BE2EC8">
        <w:rPr>
          <w:rFonts w:ascii="Arial" w:hAnsi="Arial" w:cs="Arial"/>
          <w:color w:val="0E0E0E"/>
        </w:rPr>
        <w:t xml:space="preserve"> adapt or</w:t>
      </w:r>
      <w:r w:rsidR="00C546F6" w:rsidRPr="00C236B6">
        <w:rPr>
          <w:rFonts w:ascii="Arial" w:hAnsi="Arial" w:cs="Arial"/>
          <w:color w:val="0E0E0E"/>
        </w:rPr>
        <w:t xml:space="preserve"> miss out the associated movement</w:t>
      </w:r>
      <w:r w:rsidR="00BE2EC8">
        <w:rPr>
          <w:rFonts w:ascii="Arial" w:hAnsi="Arial" w:cs="Arial"/>
          <w:color w:val="0E0E0E"/>
        </w:rPr>
        <w:t xml:space="preserve"> as they feel appropriate</w:t>
      </w:r>
      <w:r w:rsidRPr="00C236B6">
        <w:rPr>
          <w:rFonts w:ascii="Arial" w:hAnsi="Arial" w:cs="Arial"/>
          <w:color w:val="0E0E0E"/>
        </w:rPr>
        <w:t>.</w:t>
      </w:r>
    </w:p>
    <w:p w14:paraId="0C9E121B" w14:textId="1C89276D" w:rsidR="00B80F3A" w:rsidRPr="00C236B6" w:rsidRDefault="00B80F3A" w:rsidP="003C665A">
      <w:pPr>
        <w:pStyle w:val="numbered-paragraph"/>
        <w:shd w:val="clear" w:color="auto" w:fill="FAFAFB"/>
        <w:spacing w:before="240" w:beforeAutospacing="0" w:after="180" w:afterAutospacing="0"/>
        <w:rPr>
          <w:rFonts w:ascii="Arial" w:hAnsi="Arial" w:cs="Arial"/>
          <w:color w:val="0E0E0E"/>
        </w:rPr>
      </w:pPr>
      <w:r w:rsidRPr="00C236B6">
        <w:rPr>
          <w:rFonts w:ascii="Arial" w:hAnsi="Arial" w:cs="Arial"/>
          <w:color w:val="0E0E0E"/>
        </w:rPr>
        <w:t>Children that are in this group can still fracture even with the most careful handling</w:t>
      </w:r>
      <w:r w:rsidR="00356249" w:rsidRPr="00C236B6">
        <w:rPr>
          <w:rFonts w:ascii="Arial" w:hAnsi="Arial" w:cs="Arial"/>
          <w:color w:val="0E0E0E"/>
        </w:rPr>
        <w:t>.</w:t>
      </w:r>
      <w:r w:rsidRPr="00C236B6">
        <w:rPr>
          <w:rFonts w:ascii="Arial" w:hAnsi="Arial" w:cs="Arial"/>
          <w:color w:val="0E0E0E"/>
        </w:rPr>
        <w:t xml:space="preserve"> The risk of completing the assessment is often balanced by being aware of movements that the child can/cannot do</w:t>
      </w:r>
      <w:r w:rsidR="00356249" w:rsidRPr="00C236B6">
        <w:rPr>
          <w:rFonts w:ascii="Arial" w:hAnsi="Arial" w:cs="Arial"/>
          <w:color w:val="0E0E0E"/>
        </w:rPr>
        <w:t xml:space="preserve"> so that appropriate postural management can be performed. If it is found that a range of movement is significantly </w:t>
      </w:r>
      <w:r w:rsidR="00C546F6" w:rsidRPr="00C236B6">
        <w:rPr>
          <w:rFonts w:ascii="Arial" w:hAnsi="Arial" w:cs="Arial"/>
          <w:color w:val="0E0E0E"/>
        </w:rPr>
        <w:t>limited,</w:t>
      </w:r>
      <w:r w:rsidR="00356249" w:rsidRPr="00C236B6">
        <w:rPr>
          <w:rFonts w:ascii="Arial" w:hAnsi="Arial" w:cs="Arial"/>
          <w:color w:val="0E0E0E"/>
        </w:rPr>
        <w:t xml:space="preserve"> then it is important to refer this on to orthopaedics for further assessment. Recognising reduced range of movement early has allowed for early intervention. This has been shown to prevent children having other issues such as hip dislocation and scoliosis.  </w:t>
      </w:r>
    </w:p>
    <w:p w14:paraId="27294816" w14:textId="77777777" w:rsidR="00B80F3A" w:rsidRPr="00C236B6" w:rsidRDefault="00B80F3A" w:rsidP="003C665A">
      <w:pPr>
        <w:pStyle w:val="numbered-paragraph"/>
        <w:shd w:val="clear" w:color="auto" w:fill="FAFAFB"/>
        <w:spacing w:before="240" w:beforeAutospacing="0" w:after="180" w:afterAutospacing="0"/>
        <w:rPr>
          <w:rFonts w:ascii="Arial" w:hAnsi="Arial" w:cs="Arial"/>
          <w:color w:val="0E0E0E"/>
        </w:rPr>
      </w:pPr>
      <w:r w:rsidRPr="00C236B6">
        <w:rPr>
          <w:rFonts w:ascii="Arial" w:hAnsi="Arial" w:cs="Arial"/>
          <w:color w:val="0E0E0E"/>
        </w:rPr>
        <w:lastRenderedPageBreak/>
        <w:t>We would encourage all tea</w:t>
      </w:r>
      <w:r w:rsidR="00356249" w:rsidRPr="00C236B6">
        <w:rPr>
          <w:rFonts w:ascii="Arial" w:hAnsi="Arial" w:cs="Arial"/>
          <w:color w:val="0E0E0E"/>
        </w:rPr>
        <w:t>m</w:t>
      </w:r>
      <w:r w:rsidRPr="00C236B6">
        <w:rPr>
          <w:rFonts w:ascii="Arial" w:hAnsi="Arial" w:cs="Arial"/>
          <w:color w:val="0E0E0E"/>
        </w:rPr>
        <w:t>s</w:t>
      </w:r>
      <w:r w:rsidR="003D1626" w:rsidRPr="00C236B6">
        <w:rPr>
          <w:rFonts w:ascii="Arial" w:hAnsi="Arial" w:cs="Arial"/>
          <w:color w:val="0E0E0E"/>
        </w:rPr>
        <w:t xml:space="preserve"> working with this group of children and young people</w:t>
      </w:r>
      <w:r w:rsidRPr="00C236B6">
        <w:rPr>
          <w:rFonts w:ascii="Arial" w:hAnsi="Arial" w:cs="Arial"/>
          <w:color w:val="0E0E0E"/>
        </w:rPr>
        <w:t xml:space="preserve"> to follow the NICE guidance on treating children who are found to have low bone density</w:t>
      </w:r>
      <w:r w:rsidR="003D1626" w:rsidRPr="00C236B6">
        <w:rPr>
          <w:rFonts w:ascii="Arial" w:hAnsi="Arial" w:cs="Arial"/>
          <w:color w:val="0E0E0E"/>
        </w:rPr>
        <w:t>.</w:t>
      </w:r>
      <w:r w:rsidRPr="00C236B6">
        <w:rPr>
          <w:rFonts w:ascii="Arial" w:hAnsi="Arial" w:cs="Arial"/>
          <w:color w:val="0E0E0E"/>
        </w:rPr>
        <w:t xml:space="preserve">   </w:t>
      </w:r>
    </w:p>
    <w:p w14:paraId="6DBEB03A" w14:textId="6CFA04C0" w:rsidR="005A48C8" w:rsidRPr="00C236B6" w:rsidRDefault="005A48C8">
      <w:pPr>
        <w:rPr>
          <w:rFonts w:ascii="Arial" w:hAnsi="Arial" w:cs="Arial"/>
          <w:sz w:val="24"/>
          <w:szCs w:val="24"/>
        </w:rPr>
      </w:pPr>
      <w:r w:rsidRPr="00C236B6">
        <w:rPr>
          <w:rFonts w:ascii="Arial" w:hAnsi="Arial" w:cs="Arial"/>
          <w:sz w:val="24"/>
          <w:szCs w:val="24"/>
        </w:rPr>
        <w:t>Below are</w:t>
      </w:r>
      <w:r w:rsidR="00C546F6" w:rsidRPr="00C236B6">
        <w:rPr>
          <w:rFonts w:ascii="Arial" w:hAnsi="Arial" w:cs="Arial"/>
          <w:sz w:val="24"/>
          <w:szCs w:val="24"/>
        </w:rPr>
        <w:t xml:space="preserve"> some useful resources on bone density in children with CP </w:t>
      </w:r>
      <w:r w:rsidRPr="00C236B6">
        <w:rPr>
          <w:rFonts w:ascii="Arial" w:hAnsi="Arial" w:cs="Arial"/>
          <w:sz w:val="24"/>
          <w:szCs w:val="24"/>
        </w:rPr>
        <w:t xml:space="preserve">and </w:t>
      </w:r>
      <w:r w:rsidR="00E20F41">
        <w:rPr>
          <w:rFonts w:ascii="Arial" w:hAnsi="Arial" w:cs="Arial"/>
          <w:sz w:val="24"/>
          <w:szCs w:val="24"/>
        </w:rPr>
        <w:t>information</w:t>
      </w:r>
      <w:r w:rsidRPr="00C236B6">
        <w:rPr>
          <w:rFonts w:ascii="Arial" w:hAnsi="Arial" w:cs="Arial"/>
          <w:sz w:val="24"/>
          <w:szCs w:val="24"/>
        </w:rPr>
        <w:t xml:space="preserve"> </w:t>
      </w:r>
      <w:r w:rsidR="00E20F41">
        <w:rPr>
          <w:rFonts w:ascii="Arial" w:hAnsi="Arial" w:cs="Arial"/>
          <w:sz w:val="24"/>
          <w:szCs w:val="24"/>
        </w:rPr>
        <w:t>on</w:t>
      </w:r>
      <w:r w:rsidRPr="00C236B6">
        <w:rPr>
          <w:rFonts w:ascii="Arial" w:hAnsi="Arial" w:cs="Arial"/>
          <w:sz w:val="24"/>
          <w:szCs w:val="24"/>
        </w:rPr>
        <w:t xml:space="preserve"> the CPIP Pathway</w:t>
      </w:r>
      <w:r w:rsidR="00FB23AC">
        <w:rPr>
          <w:rFonts w:ascii="Arial" w:hAnsi="Arial" w:cs="Arial"/>
          <w:sz w:val="24"/>
          <w:szCs w:val="24"/>
        </w:rPr>
        <w:t xml:space="preserve"> and evidence for its use</w:t>
      </w:r>
      <w:r w:rsidRPr="00C236B6">
        <w:rPr>
          <w:rFonts w:ascii="Arial" w:hAnsi="Arial" w:cs="Arial"/>
          <w:sz w:val="24"/>
          <w:szCs w:val="24"/>
        </w:rPr>
        <w:t>:</w:t>
      </w:r>
    </w:p>
    <w:p w14:paraId="71930539" w14:textId="04E29E75" w:rsidR="00C546F6" w:rsidRPr="00C236B6" w:rsidRDefault="00C546F6">
      <w:pPr>
        <w:rPr>
          <w:rFonts w:ascii="Arial" w:hAnsi="Arial" w:cs="Arial"/>
          <w:sz w:val="24"/>
          <w:szCs w:val="24"/>
        </w:rPr>
      </w:pPr>
      <w:r w:rsidRPr="00C236B6">
        <w:rPr>
          <w:rFonts w:ascii="Arial" w:hAnsi="Arial" w:cs="Arial"/>
          <w:sz w:val="24"/>
          <w:szCs w:val="24"/>
        </w:rPr>
        <w:t>Cerebral palsy in under 25s: assessment and management NICE guideline [NG62] Published: 25 January 2017</w:t>
      </w:r>
      <w:r w:rsidR="005A48C8" w:rsidRPr="00C236B6">
        <w:rPr>
          <w:rFonts w:ascii="Arial" w:hAnsi="Arial" w:cs="Arial"/>
          <w:sz w:val="24"/>
          <w:szCs w:val="24"/>
        </w:rPr>
        <w:t xml:space="preserve"> </w:t>
      </w:r>
      <w:hyperlink r:id="rId8" w:anchor="information-on-other-comorbidities" w:history="1">
        <w:r w:rsidR="005A48C8" w:rsidRPr="00C236B6">
          <w:rPr>
            <w:rStyle w:val="Hyperlink"/>
            <w:rFonts w:ascii="Arial" w:hAnsi="Arial" w:cs="Arial"/>
          </w:rPr>
          <w:t>Recommendations | Cerebral palsy in under 25s: assessment and management | Guidance | NICE</w:t>
        </w:r>
      </w:hyperlink>
    </w:p>
    <w:p w14:paraId="0BCE487D" w14:textId="55AB5DC5" w:rsidR="00C546F6" w:rsidRPr="00C236B6" w:rsidRDefault="00C546F6">
      <w:pPr>
        <w:rPr>
          <w:rFonts w:ascii="Arial" w:hAnsi="Arial" w:cs="Arial"/>
          <w:sz w:val="24"/>
          <w:szCs w:val="24"/>
        </w:rPr>
      </w:pPr>
      <w:r w:rsidRPr="00C236B6">
        <w:rPr>
          <w:rFonts w:ascii="Arial" w:hAnsi="Arial" w:cs="Arial"/>
          <w:sz w:val="24"/>
          <w:szCs w:val="24"/>
        </w:rPr>
        <w:t xml:space="preserve">Managing Bone Health of children with Cerebral Palsy- PDF from Belfast attached </w:t>
      </w:r>
    </w:p>
    <w:p w14:paraId="50CDAB09" w14:textId="123F4C75" w:rsidR="00E965AC" w:rsidRDefault="00E20F41" w:rsidP="00E965AC">
      <w:pPr>
        <w:rPr>
          <w:rFonts w:ascii="Arial" w:hAnsi="Arial" w:cs="Arial"/>
        </w:rPr>
      </w:pPr>
      <w:hyperlink r:id="rId9" w:history="1">
        <w:r w:rsidR="005A48C8" w:rsidRPr="00C236B6">
          <w:rPr>
            <w:rStyle w:val="Hyperlink"/>
            <w:rFonts w:ascii="Arial" w:hAnsi="Arial" w:cs="Arial"/>
          </w:rPr>
          <w:t>RECORDED WEBINAR - Bone Health | Association of Paediatric Chartered Physiotherapists (csp.org.uk)</w:t>
        </w:r>
      </w:hyperlink>
      <w:r w:rsidR="005A48C8" w:rsidRPr="00C236B6">
        <w:rPr>
          <w:rFonts w:ascii="Arial" w:hAnsi="Arial" w:cs="Arial"/>
        </w:rPr>
        <w:t xml:space="preserve"> For APCP Members.</w:t>
      </w:r>
      <w:r w:rsidR="002702C6">
        <w:rPr>
          <w:rFonts w:ascii="Arial" w:hAnsi="Arial" w:cs="Arial"/>
        </w:rPr>
        <w:t xml:space="preserve"> </w:t>
      </w:r>
      <w:hyperlink r:id="rId10" w:history="1">
        <w:r w:rsidRPr="00B52FF2">
          <w:rPr>
            <w:rStyle w:val="Hyperlink"/>
            <w:rFonts w:ascii="Arial" w:hAnsi="Arial" w:cs="Arial"/>
          </w:rPr>
          <w:t>Angela.Wing@wales.nhs.uk</w:t>
        </w:r>
      </w:hyperlink>
    </w:p>
    <w:p w14:paraId="278DB06A" w14:textId="22AD43CA" w:rsidR="00E20F41" w:rsidRPr="00C236B6" w:rsidRDefault="00E20F41" w:rsidP="00E965AC">
      <w:pPr>
        <w:rPr>
          <w:rFonts w:ascii="Arial" w:hAnsi="Arial" w:cs="Arial"/>
        </w:rPr>
      </w:pPr>
      <w:hyperlink r:id="rId11" w:history="1">
        <w:r w:rsidRPr="00E20F41">
          <w:rPr>
            <w:color w:val="0000FF"/>
            <w:u w:val="single"/>
          </w:rPr>
          <w:t>Cerebral Palsy Integrated Pathway | Physiotherapy | United Kingdom (cpipuk.org)</w:t>
        </w:r>
      </w:hyperlink>
    </w:p>
    <w:p w14:paraId="63E09CA3" w14:textId="4F4D728E" w:rsidR="005A48C8" w:rsidRPr="00C236B6" w:rsidRDefault="00E965AC" w:rsidP="00E965AC">
      <w:pPr>
        <w:rPr>
          <w:rFonts w:ascii="Arial" w:hAnsi="Arial" w:cs="Arial"/>
        </w:rPr>
      </w:pPr>
      <w:r w:rsidRPr="00C236B6">
        <w:rPr>
          <w:rFonts w:ascii="Arial" w:hAnsi="Arial" w:cs="Arial"/>
        </w:rPr>
        <w:t xml:space="preserve">References for </w:t>
      </w:r>
      <w:r w:rsidR="00FB23AC">
        <w:rPr>
          <w:rFonts w:ascii="Arial" w:hAnsi="Arial" w:cs="Arial"/>
        </w:rPr>
        <w:t xml:space="preserve">using </w:t>
      </w:r>
      <w:r w:rsidRPr="00C236B6">
        <w:rPr>
          <w:rFonts w:ascii="Arial" w:hAnsi="Arial" w:cs="Arial"/>
        </w:rPr>
        <w:t>CPIP</w:t>
      </w:r>
      <w:r w:rsidR="005A48C8" w:rsidRPr="00C236B6">
        <w:rPr>
          <w:rFonts w:ascii="Arial" w:eastAsia="MS PGothic" w:hAnsi="Arial" w:cs="Arial"/>
          <w:kern w:val="24"/>
        </w:rPr>
        <w:br/>
      </w:r>
      <w:r w:rsidR="005A48C8" w:rsidRPr="00C236B6">
        <w:rPr>
          <w:rFonts w:ascii="Arial" w:eastAsia="MS PGothic" w:hAnsi="Arial" w:cs="Arial"/>
          <w:kern w:val="24"/>
        </w:rPr>
        <w:br/>
      </w:r>
      <w:r w:rsidR="005A48C8" w:rsidRPr="00C236B6">
        <w:rPr>
          <w:rFonts w:ascii="Arial" w:eastAsia="Calibri" w:hAnsi="Arial" w:cs="Arial"/>
          <w:kern w:val="24"/>
          <w:lang w:val="en-US"/>
        </w:rPr>
        <w:t>1.</w:t>
      </w:r>
      <w:r w:rsidR="005A48C8" w:rsidRPr="00C236B6">
        <w:rPr>
          <w:rFonts w:ascii="Arial" w:eastAsia="Calibri" w:hAnsi="Arial" w:cs="Arial"/>
          <w:kern w:val="24"/>
          <w:lang w:val="en-US"/>
        </w:rPr>
        <w:tab/>
        <w:t xml:space="preserve">Novak, I., et al., </w:t>
      </w:r>
      <w:r w:rsidR="005A48C8" w:rsidRPr="00C236B6">
        <w:rPr>
          <w:rFonts w:ascii="Arial" w:eastAsia="Calibri" w:hAnsi="Arial" w:cs="Arial"/>
          <w:i/>
          <w:iCs/>
          <w:kern w:val="24"/>
          <w:lang w:val="en-US"/>
        </w:rPr>
        <w:t>State of the Evidence Traffic Lights 2019: Systematic Review of Interventions for Preventing and Treating Children with Cerebral Palsy.</w:t>
      </w:r>
      <w:r w:rsidR="005A48C8" w:rsidRPr="00C236B6">
        <w:rPr>
          <w:rFonts w:ascii="Arial" w:eastAsia="Calibri" w:hAnsi="Arial" w:cs="Arial"/>
          <w:kern w:val="24"/>
          <w:lang w:val="en-US"/>
        </w:rPr>
        <w:t xml:space="preserve"> Current neurology and neuroscience reports, 2020. </w:t>
      </w:r>
      <w:r w:rsidR="005A48C8" w:rsidRPr="00C236B6">
        <w:rPr>
          <w:rFonts w:ascii="Arial" w:eastAsia="Calibri" w:hAnsi="Arial" w:cs="Arial"/>
          <w:b/>
          <w:bCs/>
          <w:kern w:val="24"/>
          <w:lang w:val="en-US"/>
        </w:rPr>
        <w:t>20</w:t>
      </w:r>
      <w:r w:rsidR="005A48C8" w:rsidRPr="00C236B6">
        <w:rPr>
          <w:rFonts w:ascii="Arial" w:eastAsia="Calibri" w:hAnsi="Arial" w:cs="Arial"/>
          <w:kern w:val="24"/>
          <w:lang w:val="en-US"/>
        </w:rPr>
        <w:t>(2): p. 1-21.</w:t>
      </w:r>
    </w:p>
    <w:p w14:paraId="3AE5F5D4" w14:textId="77777777" w:rsidR="005A48C8" w:rsidRPr="00C236B6" w:rsidRDefault="005A48C8" w:rsidP="00E965AC">
      <w:pPr>
        <w:kinsoku w:val="0"/>
        <w:overflowPunct w:val="0"/>
        <w:jc w:val="both"/>
        <w:textAlignment w:val="baseline"/>
        <w:rPr>
          <w:rFonts w:ascii="Arial" w:hAnsi="Arial" w:cs="Arial"/>
        </w:rPr>
      </w:pPr>
      <w:r w:rsidRPr="00C236B6">
        <w:rPr>
          <w:rFonts w:ascii="Arial" w:eastAsia="Calibri" w:hAnsi="Arial" w:cs="Arial"/>
          <w:kern w:val="24"/>
          <w:lang w:val="en-US"/>
        </w:rPr>
        <w:t>2.</w:t>
      </w:r>
      <w:r w:rsidRPr="00C236B6">
        <w:rPr>
          <w:rFonts w:ascii="Arial" w:eastAsia="Calibri" w:hAnsi="Arial" w:cs="Arial"/>
          <w:kern w:val="24"/>
          <w:lang w:val="en-US"/>
        </w:rPr>
        <w:tab/>
      </w:r>
      <w:proofErr w:type="spellStart"/>
      <w:r w:rsidRPr="00C236B6">
        <w:rPr>
          <w:rFonts w:ascii="Arial" w:eastAsia="Calibri" w:hAnsi="Arial" w:cs="Arial"/>
          <w:kern w:val="24"/>
          <w:lang w:val="en-US"/>
        </w:rPr>
        <w:t>Paleg</w:t>
      </w:r>
      <w:proofErr w:type="spellEnd"/>
      <w:r w:rsidRPr="00C236B6">
        <w:rPr>
          <w:rFonts w:ascii="Arial" w:eastAsia="Calibri" w:hAnsi="Arial" w:cs="Arial"/>
          <w:kern w:val="24"/>
          <w:lang w:val="en-US"/>
        </w:rPr>
        <w:t xml:space="preserve">, G.S., L.B. Glickman, and P. </w:t>
      </w:r>
      <w:proofErr w:type="spellStart"/>
      <w:r w:rsidRPr="00C236B6">
        <w:rPr>
          <w:rFonts w:ascii="Arial" w:eastAsia="Calibri" w:hAnsi="Arial" w:cs="Arial"/>
          <w:kern w:val="24"/>
          <w:lang w:val="en-US"/>
        </w:rPr>
        <w:t>Rgeigle</w:t>
      </w:r>
      <w:proofErr w:type="spellEnd"/>
      <w:r w:rsidRPr="00C236B6">
        <w:rPr>
          <w:rFonts w:ascii="Arial" w:eastAsia="Calibri" w:hAnsi="Arial" w:cs="Arial"/>
          <w:kern w:val="24"/>
          <w:lang w:val="en-US"/>
        </w:rPr>
        <w:t xml:space="preserve">, </w:t>
      </w:r>
      <w:r w:rsidRPr="00C236B6">
        <w:rPr>
          <w:rFonts w:ascii="Arial" w:eastAsia="Calibri" w:hAnsi="Arial" w:cs="Arial"/>
          <w:i/>
          <w:iCs/>
          <w:kern w:val="24"/>
          <w:lang w:val="en-US"/>
        </w:rPr>
        <w:t>Passive standing: A systematic review focusing on clinical outcomes and decision making.</w:t>
      </w:r>
      <w:r w:rsidRPr="00C236B6">
        <w:rPr>
          <w:rFonts w:ascii="Arial" w:eastAsia="Calibri" w:hAnsi="Arial" w:cs="Arial"/>
          <w:kern w:val="24"/>
          <w:lang w:val="en-US"/>
        </w:rPr>
        <w:t xml:space="preserve"> Developmental Medicine and Child Neurology, 2010. </w:t>
      </w:r>
      <w:r w:rsidRPr="00C236B6">
        <w:rPr>
          <w:rFonts w:ascii="Arial" w:eastAsia="Calibri" w:hAnsi="Arial" w:cs="Arial"/>
          <w:b/>
          <w:bCs/>
          <w:kern w:val="24"/>
          <w:lang w:val="en-US"/>
        </w:rPr>
        <w:t>52</w:t>
      </w:r>
      <w:r w:rsidRPr="00C236B6">
        <w:rPr>
          <w:rFonts w:ascii="Arial" w:eastAsia="Calibri" w:hAnsi="Arial" w:cs="Arial"/>
          <w:kern w:val="24"/>
          <w:lang w:val="en-US"/>
        </w:rPr>
        <w:t>: p. 65.</w:t>
      </w:r>
    </w:p>
    <w:p w14:paraId="23148CFA" w14:textId="77777777" w:rsidR="005A48C8" w:rsidRPr="00C236B6" w:rsidRDefault="005A48C8" w:rsidP="00E965AC">
      <w:pPr>
        <w:kinsoku w:val="0"/>
        <w:overflowPunct w:val="0"/>
        <w:jc w:val="both"/>
        <w:textAlignment w:val="baseline"/>
        <w:rPr>
          <w:rFonts w:ascii="Arial" w:hAnsi="Arial" w:cs="Arial"/>
        </w:rPr>
      </w:pPr>
      <w:r w:rsidRPr="00C236B6">
        <w:rPr>
          <w:rFonts w:ascii="Arial" w:eastAsia="Calibri" w:hAnsi="Arial" w:cs="Arial"/>
          <w:kern w:val="24"/>
          <w:lang w:val="en-US"/>
        </w:rPr>
        <w:t>3.</w:t>
      </w:r>
      <w:r w:rsidRPr="00C236B6">
        <w:rPr>
          <w:rFonts w:ascii="Arial" w:eastAsia="Calibri" w:hAnsi="Arial" w:cs="Arial"/>
          <w:kern w:val="24"/>
          <w:lang w:val="en-US"/>
        </w:rPr>
        <w:tab/>
        <w:t xml:space="preserve">Boyd, R.N. and H.K. Graham, </w:t>
      </w:r>
      <w:r w:rsidRPr="00C236B6">
        <w:rPr>
          <w:rFonts w:ascii="Arial" w:eastAsia="Calibri" w:hAnsi="Arial" w:cs="Arial"/>
          <w:i/>
          <w:iCs/>
          <w:kern w:val="24"/>
          <w:lang w:val="en-US"/>
        </w:rPr>
        <w:t>Objective measurement of clinical findings in the use of botulinum toxin type A for the management of children with cerebral palsy.</w:t>
      </w:r>
      <w:r w:rsidRPr="00C236B6">
        <w:rPr>
          <w:rFonts w:ascii="Arial" w:eastAsia="Calibri" w:hAnsi="Arial" w:cs="Arial"/>
          <w:kern w:val="24"/>
          <w:lang w:val="en-US"/>
        </w:rPr>
        <w:t xml:space="preserve"> European Journal of Neurology, 1999. </w:t>
      </w:r>
      <w:r w:rsidRPr="00C236B6">
        <w:rPr>
          <w:rFonts w:ascii="Arial" w:eastAsia="Calibri" w:hAnsi="Arial" w:cs="Arial"/>
          <w:b/>
          <w:bCs/>
          <w:kern w:val="24"/>
          <w:lang w:val="en-US"/>
        </w:rPr>
        <w:t>6</w:t>
      </w:r>
      <w:r w:rsidRPr="00C236B6">
        <w:rPr>
          <w:rFonts w:ascii="Arial" w:eastAsia="Calibri" w:hAnsi="Arial" w:cs="Arial"/>
          <w:kern w:val="24"/>
          <w:lang w:val="en-US"/>
        </w:rPr>
        <w:t>: p. s23-s35.</w:t>
      </w:r>
    </w:p>
    <w:p w14:paraId="667106D2" w14:textId="77777777" w:rsidR="005A48C8" w:rsidRPr="00C236B6" w:rsidRDefault="005A48C8" w:rsidP="00E965AC">
      <w:pPr>
        <w:kinsoku w:val="0"/>
        <w:overflowPunct w:val="0"/>
        <w:jc w:val="both"/>
        <w:textAlignment w:val="baseline"/>
        <w:rPr>
          <w:rFonts w:ascii="Arial" w:hAnsi="Arial" w:cs="Arial"/>
        </w:rPr>
      </w:pPr>
      <w:r w:rsidRPr="00C236B6">
        <w:rPr>
          <w:rFonts w:ascii="Arial" w:eastAsia="Calibri" w:hAnsi="Arial" w:cs="Arial"/>
          <w:kern w:val="24"/>
          <w:lang w:val="en-US"/>
        </w:rPr>
        <w:t>4.</w:t>
      </w:r>
      <w:r w:rsidRPr="00C236B6">
        <w:rPr>
          <w:rFonts w:ascii="Arial" w:eastAsia="Calibri" w:hAnsi="Arial" w:cs="Arial"/>
          <w:kern w:val="24"/>
          <w:lang w:val="en-US"/>
        </w:rPr>
        <w:tab/>
        <w:t xml:space="preserve">Summers, J., et al., </w:t>
      </w:r>
      <w:r w:rsidRPr="00C236B6">
        <w:rPr>
          <w:rFonts w:ascii="Arial" w:eastAsia="Calibri" w:hAnsi="Arial" w:cs="Arial"/>
          <w:i/>
          <w:iCs/>
          <w:kern w:val="24"/>
          <w:lang w:val="en-US"/>
        </w:rPr>
        <w:t>Selective dorsal rhizotomy in ambulant children with cerebral palsy: an observational cohort study.</w:t>
      </w:r>
      <w:r w:rsidRPr="00C236B6">
        <w:rPr>
          <w:rFonts w:ascii="Arial" w:eastAsia="Calibri" w:hAnsi="Arial" w:cs="Arial"/>
          <w:kern w:val="24"/>
          <w:lang w:val="en-US"/>
        </w:rPr>
        <w:t xml:space="preserve"> The Lancet Child &amp; Adolescent Health, 2019. </w:t>
      </w:r>
      <w:r w:rsidRPr="00C236B6">
        <w:rPr>
          <w:rFonts w:ascii="Arial" w:eastAsia="Calibri" w:hAnsi="Arial" w:cs="Arial"/>
          <w:b/>
          <w:bCs/>
          <w:kern w:val="24"/>
          <w:lang w:val="en-US"/>
        </w:rPr>
        <w:t>3</w:t>
      </w:r>
      <w:r w:rsidRPr="00C236B6">
        <w:rPr>
          <w:rFonts w:ascii="Arial" w:eastAsia="Calibri" w:hAnsi="Arial" w:cs="Arial"/>
          <w:kern w:val="24"/>
          <w:lang w:val="en-US"/>
        </w:rPr>
        <w:t>(7): p. 455-462.</w:t>
      </w:r>
    </w:p>
    <w:p w14:paraId="191F8261" w14:textId="77777777" w:rsidR="005A48C8" w:rsidRPr="00C236B6" w:rsidRDefault="005A48C8" w:rsidP="00E965AC">
      <w:pPr>
        <w:kinsoku w:val="0"/>
        <w:overflowPunct w:val="0"/>
        <w:jc w:val="both"/>
        <w:textAlignment w:val="baseline"/>
        <w:rPr>
          <w:rFonts w:ascii="Arial" w:hAnsi="Arial" w:cs="Arial"/>
        </w:rPr>
      </w:pPr>
      <w:r w:rsidRPr="00C236B6">
        <w:rPr>
          <w:rFonts w:ascii="Arial" w:eastAsia="Calibri" w:hAnsi="Arial" w:cs="Arial"/>
          <w:kern w:val="24"/>
          <w:lang w:val="en-US"/>
        </w:rPr>
        <w:t>5.</w:t>
      </w:r>
      <w:r w:rsidRPr="00C236B6">
        <w:rPr>
          <w:rFonts w:ascii="Arial" w:eastAsia="Calibri" w:hAnsi="Arial" w:cs="Arial"/>
          <w:kern w:val="24"/>
          <w:lang w:val="en-US"/>
        </w:rPr>
        <w:tab/>
      </w:r>
      <w:proofErr w:type="spellStart"/>
      <w:r w:rsidRPr="00C236B6">
        <w:rPr>
          <w:rFonts w:ascii="Arial" w:eastAsia="Calibri" w:hAnsi="Arial" w:cs="Arial"/>
          <w:kern w:val="24"/>
          <w:lang w:val="en-US"/>
        </w:rPr>
        <w:t>Oskoui</w:t>
      </w:r>
      <w:proofErr w:type="spellEnd"/>
      <w:r w:rsidRPr="00C236B6">
        <w:rPr>
          <w:rFonts w:ascii="Arial" w:eastAsia="Calibri" w:hAnsi="Arial" w:cs="Arial"/>
          <w:kern w:val="24"/>
          <w:lang w:val="en-US"/>
        </w:rPr>
        <w:t xml:space="preserve">, M., et al., </w:t>
      </w:r>
      <w:r w:rsidRPr="00C236B6">
        <w:rPr>
          <w:rFonts w:ascii="Arial" w:eastAsia="Calibri" w:hAnsi="Arial" w:cs="Arial"/>
          <w:i/>
          <w:iCs/>
          <w:kern w:val="24"/>
          <w:lang w:val="en-US"/>
        </w:rPr>
        <w:t>An update on the prevalence of cerebral palsy: a systematic review and meta-analysis.</w:t>
      </w:r>
      <w:r w:rsidRPr="00C236B6">
        <w:rPr>
          <w:rFonts w:ascii="Arial" w:eastAsia="Calibri" w:hAnsi="Arial" w:cs="Arial"/>
          <w:kern w:val="24"/>
          <w:lang w:val="en-US"/>
        </w:rPr>
        <w:t xml:space="preserve"> Developmental Medicine &amp; Child Neurology, 2013. </w:t>
      </w:r>
      <w:r w:rsidRPr="00C236B6">
        <w:rPr>
          <w:rFonts w:ascii="Arial" w:eastAsia="Calibri" w:hAnsi="Arial" w:cs="Arial"/>
          <w:b/>
          <w:bCs/>
          <w:kern w:val="24"/>
          <w:lang w:val="en-US"/>
        </w:rPr>
        <w:t>55</w:t>
      </w:r>
      <w:r w:rsidRPr="00C236B6">
        <w:rPr>
          <w:rFonts w:ascii="Arial" w:eastAsia="Calibri" w:hAnsi="Arial" w:cs="Arial"/>
          <w:kern w:val="24"/>
          <w:lang w:val="en-US"/>
        </w:rPr>
        <w:t>(6): p. 509-519.</w:t>
      </w:r>
    </w:p>
    <w:p w14:paraId="68D97FC7" w14:textId="5DB65409" w:rsidR="005A48C8" w:rsidRPr="00C236B6" w:rsidRDefault="005A48C8" w:rsidP="00E965AC">
      <w:pPr>
        <w:kinsoku w:val="0"/>
        <w:overflowPunct w:val="0"/>
        <w:jc w:val="both"/>
        <w:textAlignment w:val="baseline"/>
        <w:rPr>
          <w:rFonts w:ascii="Arial" w:eastAsia="Calibri" w:hAnsi="Arial" w:cs="Arial"/>
          <w:kern w:val="24"/>
          <w:lang w:val="en-US"/>
        </w:rPr>
      </w:pPr>
      <w:r w:rsidRPr="00C236B6">
        <w:rPr>
          <w:rFonts w:ascii="Arial" w:eastAsia="Calibri" w:hAnsi="Arial" w:cs="Arial"/>
          <w:kern w:val="24"/>
          <w:lang w:val="en-US"/>
        </w:rPr>
        <w:t>6.</w:t>
      </w:r>
      <w:r w:rsidRPr="00C236B6">
        <w:rPr>
          <w:rFonts w:ascii="Arial" w:eastAsia="Calibri" w:hAnsi="Arial" w:cs="Arial"/>
          <w:kern w:val="24"/>
          <w:lang w:val="en-US"/>
        </w:rPr>
        <w:tab/>
        <w:t xml:space="preserve">Rosenbaum, P., et al., </w:t>
      </w:r>
      <w:r w:rsidRPr="00C236B6">
        <w:rPr>
          <w:rFonts w:ascii="Arial" w:eastAsia="Calibri" w:hAnsi="Arial" w:cs="Arial"/>
          <w:i/>
          <w:iCs/>
          <w:kern w:val="24"/>
          <w:lang w:val="en-US"/>
        </w:rPr>
        <w:t>A report: the definition and classification of cerebral palsy April 2006.</w:t>
      </w:r>
      <w:r w:rsidRPr="00C236B6">
        <w:rPr>
          <w:rFonts w:ascii="Arial" w:eastAsia="Calibri" w:hAnsi="Arial" w:cs="Arial"/>
          <w:kern w:val="24"/>
          <w:lang w:val="en-US"/>
        </w:rPr>
        <w:t xml:space="preserve"> Dev Med Child Neurol Suppl, 2007. </w:t>
      </w:r>
      <w:r w:rsidRPr="00C236B6">
        <w:rPr>
          <w:rFonts w:ascii="Arial" w:eastAsia="Calibri" w:hAnsi="Arial" w:cs="Arial"/>
          <w:b/>
          <w:bCs/>
          <w:kern w:val="24"/>
          <w:lang w:val="en-US"/>
        </w:rPr>
        <w:t>109</w:t>
      </w:r>
      <w:r w:rsidRPr="00C236B6">
        <w:rPr>
          <w:rFonts w:ascii="Arial" w:eastAsia="Calibri" w:hAnsi="Arial" w:cs="Arial"/>
          <w:kern w:val="24"/>
          <w:lang w:val="en-US"/>
        </w:rPr>
        <w:t>(suppl 109): p. 8-14.</w:t>
      </w:r>
    </w:p>
    <w:p w14:paraId="378CFFBD"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7. </w:t>
      </w:r>
      <w:proofErr w:type="spellStart"/>
      <w:r w:rsidRPr="00C236B6">
        <w:rPr>
          <w:rFonts w:ascii="Arial" w:hAnsi="Arial" w:cs="Arial"/>
        </w:rPr>
        <w:t>Hägglund</w:t>
      </w:r>
      <w:proofErr w:type="spellEnd"/>
      <w:r w:rsidRPr="00C236B6">
        <w:rPr>
          <w:rFonts w:ascii="Arial" w:hAnsi="Arial" w:cs="Arial"/>
        </w:rPr>
        <w:t xml:space="preserve">, G., et al., Prevention of dislocation of the hip in children with cerebral palsy: 20-year results of a population-based prevention programme. The bone &amp; joint journal, 2014. 96(11): p. 1546-1552. </w:t>
      </w:r>
    </w:p>
    <w:p w14:paraId="08C5BF04"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8. Persson-</w:t>
      </w:r>
      <w:proofErr w:type="spellStart"/>
      <w:r w:rsidRPr="00C236B6">
        <w:rPr>
          <w:rFonts w:ascii="Arial" w:hAnsi="Arial" w:cs="Arial"/>
        </w:rPr>
        <w:t>Bunke</w:t>
      </w:r>
      <w:proofErr w:type="spellEnd"/>
      <w:r w:rsidRPr="00C236B6">
        <w:rPr>
          <w:rFonts w:ascii="Arial" w:hAnsi="Arial" w:cs="Arial"/>
        </w:rPr>
        <w:t xml:space="preserve">, M., G. </w:t>
      </w:r>
      <w:proofErr w:type="spellStart"/>
      <w:r w:rsidRPr="00C236B6">
        <w:rPr>
          <w:rFonts w:ascii="Arial" w:hAnsi="Arial" w:cs="Arial"/>
        </w:rPr>
        <w:t>Hägglund</w:t>
      </w:r>
      <w:proofErr w:type="spellEnd"/>
      <w:r w:rsidRPr="00C236B6">
        <w:rPr>
          <w:rFonts w:ascii="Arial" w:hAnsi="Arial" w:cs="Arial"/>
        </w:rPr>
        <w:t xml:space="preserve">, and H. </w:t>
      </w:r>
      <w:proofErr w:type="spellStart"/>
      <w:r w:rsidRPr="00C236B6">
        <w:rPr>
          <w:rFonts w:ascii="Arial" w:hAnsi="Arial" w:cs="Arial"/>
        </w:rPr>
        <w:t>Lauge</w:t>
      </w:r>
      <w:proofErr w:type="spellEnd"/>
      <w:r w:rsidRPr="00C236B6">
        <w:rPr>
          <w:rFonts w:ascii="Arial" w:hAnsi="Arial" w:cs="Arial"/>
        </w:rPr>
        <w:t xml:space="preserve">-Pedersen, Windswept hip deformity in children with cerebral palsy. Journal of </w:t>
      </w:r>
      <w:proofErr w:type="spellStart"/>
      <w:r w:rsidRPr="00C236B6">
        <w:rPr>
          <w:rFonts w:ascii="Arial" w:hAnsi="Arial" w:cs="Arial"/>
        </w:rPr>
        <w:t>Pediatric</w:t>
      </w:r>
      <w:proofErr w:type="spellEnd"/>
      <w:r w:rsidRPr="00C236B6">
        <w:rPr>
          <w:rFonts w:ascii="Arial" w:hAnsi="Arial" w:cs="Arial"/>
        </w:rPr>
        <w:t xml:space="preserve"> Orthopaedics B, 2006. 15(5): p. 335-338. </w:t>
      </w:r>
    </w:p>
    <w:p w14:paraId="4CE6145D"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9. </w:t>
      </w:r>
      <w:proofErr w:type="spellStart"/>
      <w:r w:rsidRPr="00C236B6">
        <w:rPr>
          <w:rFonts w:ascii="Arial" w:hAnsi="Arial" w:cs="Arial"/>
        </w:rPr>
        <w:t>Pountney</w:t>
      </w:r>
      <w:proofErr w:type="spellEnd"/>
      <w:r w:rsidRPr="00C236B6">
        <w:rPr>
          <w:rFonts w:ascii="Arial" w:hAnsi="Arial" w:cs="Arial"/>
        </w:rPr>
        <w:t xml:space="preserve">, T.E., et al., Hip subluxation and dislocation in cerebral palsy–a prospective study on the effectiveness of postural management programmes. Physiotherapy Research International, 2009. 14(2): p. 116-127. </w:t>
      </w:r>
    </w:p>
    <w:p w14:paraId="15B27539"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lastRenderedPageBreak/>
        <w:t xml:space="preserve">10. Faraj, S., W. Atherton, and N. Stott, Inter-and intra-measurer error in the measurement of Reimers’ hip migration percentage. The Journal of bone and joint surgery. British volume, 2004. 86(3): p. 434-437. </w:t>
      </w:r>
    </w:p>
    <w:p w14:paraId="311EB5FA"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11. Soo, B., et al., Hip displacement in cerebral palsy. JBJS, 2006. 88(1): p. 121-129. </w:t>
      </w:r>
    </w:p>
    <w:p w14:paraId="37F9C0E2"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12. Robin, J., et al., Proximal femoral geometry in cerebral palsy: a population-based cross-sectional study. The Journal of bone and joint surgery. British volume, 2008. 90(10): p. 1372-1379. </w:t>
      </w:r>
    </w:p>
    <w:p w14:paraId="7F734980"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13. </w:t>
      </w:r>
      <w:proofErr w:type="spellStart"/>
      <w:r w:rsidRPr="00C236B6">
        <w:rPr>
          <w:rFonts w:ascii="Arial" w:hAnsi="Arial" w:cs="Arial"/>
        </w:rPr>
        <w:t>Mugglestone</w:t>
      </w:r>
      <w:proofErr w:type="spellEnd"/>
      <w:r w:rsidRPr="00C236B6">
        <w:rPr>
          <w:rFonts w:ascii="Arial" w:hAnsi="Arial" w:cs="Arial"/>
        </w:rPr>
        <w:t xml:space="preserve">, M.A., P. Eunson, and M.S. Murphy, Spasticity in children and young people with non-progressive brain disorders: summary of NICE guidance. </w:t>
      </w:r>
      <w:proofErr w:type="spellStart"/>
      <w:r w:rsidRPr="00C236B6">
        <w:rPr>
          <w:rFonts w:ascii="Arial" w:hAnsi="Arial" w:cs="Arial"/>
        </w:rPr>
        <w:t>Bmj</w:t>
      </w:r>
      <w:proofErr w:type="spellEnd"/>
      <w:r w:rsidRPr="00C236B6">
        <w:rPr>
          <w:rFonts w:ascii="Arial" w:hAnsi="Arial" w:cs="Arial"/>
        </w:rPr>
        <w:t>, 2012. 345: p. e4845.</w:t>
      </w:r>
    </w:p>
    <w:p w14:paraId="5FF0CAC3"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 14. Howard, J., et al., Cerebral palsy in Victoria: motor types, topography and gross motor function. Journal of paediatrics and child health, 2005. 41(9</w:t>
      </w:r>
      <w:r w:rsidRPr="00C236B6">
        <w:rPr>
          <w:rFonts w:ascii="Cambria Math" w:hAnsi="Cambria Math" w:cs="Cambria Math"/>
        </w:rPr>
        <w:t>‐</w:t>
      </w:r>
      <w:r w:rsidRPr="00C236B6">
        <w:rPr>
          <w:rFonts w:ascii="Arial" w:hAnsi="Arial" w:cs="Arial"/>
        </w:rPr>
        <w:t xml:space="preserve">10): p. 479-483. </w:t>
      </w:r>
    </w:p>
    <w:p w14:paraId="0A348764"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15. </w:t>
      </w:r>
      <w:proofErr w:type="spellStart"/>
      <w:r w:rsidRPr="00C236B6">
        <w:rPr>
          <w:rFonts w:ascii="Arial" w:hAnsi="Arial" w:cs="Arial"/>
        </w:rPr>
        <w:t>Palisano</w:t>
      </w:r>
      <w:proofErr w:type="spellEnd"/>
      <w:r w:rsidRPr="00C236B6">
        <w:rPr>
          <w:rFonts w:ascii="Arial" w:hAnsi="Arial" w:cs="Arial"/>
        </w:rPr>
        <w:t xml:space="preserve">, R., et al., GMFCS-E&amp;R. CanChild Centre for Childhood Disability Research, McMaster University, 2007. </w:t>
      </w:r>
    </w:p>
    <w:p w14:paraId="15119785" w14:textId="77777777" w:rsidR="00E965AC" w:rsidRPr="00C236B6" w:rsidRDefault="00E965AC" w:rsidP="00E965AC">
      <w:pPr>
        <w:kinsoku w:val="0"/>
        <w:overflowPunct w:val="0"/>
        <w:jc w:val="both"/>
        <w:textAlignment w:val="baseline"/>
        <w:rPr>
          <w:rFonts w:ascii="Arial" w:hAnsi="Arial" w:cs="Arial"/>
        </w:rPr>
      </w:pPr>
      <w:r w:rsidRPr="00C236B6">
        <w:rPr>
          <w:rFonts w:ascii="Arial" w:hAnsi="Arial" w:cs="Arial"/>
        </w:rPr>
        <w:t xml:space="preserve">16. </w:t>
      </w:r>
      <w:proofErr w:type="spellStart"/>
      <w:r w:rsidRPr="00C236B6">
        <w:rPr>
          <w:rFonts w:ascii="Arial" w:hAnsi="Arial" w:cs="Arial"/>
        </w:rPr>
        <w:t>Beckung</w:t>
      </w:r>
      <w:proofErr w:type="spellEnd"/>
      <w:r w:rsidRPr="00C236B6">
        <w:rPr>
          <w:rFonts w:ascii="Arial" w:hAnsi="Arial" w:cs="Arial"/>
        </w:rPr>
        <w:t xml:space="preserve">, E., et al., The natural history of gross motor development in children with cerebral palsy aged 1 to 15 years. Developmental Medicine &amp; Child Neurology, 2007. 49(10): p. 751-756. </w:t>
      </w:r>
    </w:p>
    <w:p w14:paraId="36C2CF03" w14:textId="1C3AC12D" w:rsidR="005A48C8" w:rsidRPr="00C236B6" w:rsidRDefault="00E965AC" w:rsidP="00E965AC">
      <w:pPr>
        <w:kinsoku w:val="0"/>
        <w:overflowPunct w:val="0"/>
        <w:jc w:val="both"/>
        <w:textAlignment w:val="baseline"/>
        <w:rPr>
          <w:rFonts w:ascii="Arial" w:hAnsi="Arial" w:cs="Arial"/>
        </w:rPr>
      </w:pPr>
      <w:r w:rsidRPr="00C236B6">
        <w:rPr>
          <w:rFonts w:ascii="Arial" w:hAnsi="Arial" w:cs="Arial"/>
        </w:rPr>
        <w:t>17. Eliasson, A.-C., et al., The Manual Ability Classification System (MACS) for children with cerebral palsy: scale development and evidence of validity and reliability. Developmental medicine and child neurology, 2006. 48(7): p. 549-554.</w:t>
      </w:r>
    </w:p>
    <w:p w14:paraId="7E7CDEDA" w14:textId="77777777" w:rsidR="005A48C8" w:rsidRPr="003C665A" w:rsidRDefault="005A48C8">
      <w:pPr>
        <w:rPr>
          <w:sz w:val="24"/>
          <w:szCs w:val="24"/>
        </w:rPr>
      </w:pPr>
    </w:p>
    <w:sectPr w:rsidR="005A48C8" w:rsidRPr="003C665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3C89C" w14:textId="77777777" w:rsidR="00896A63" w:rsidRDefault="00896A63" w:rsidP="002702C6">
      <w:pPr>
        <w:spacing w:after="0" w:line="240" w:lineRule="auto"/>
      </w:pPr>
      <w:r>
        <w:separator/>
      </w:r>
    </w:p>
  </w:endnote>
  <w:endnote w:type="continuationSeparator" w:id="0">
    <w:p w14:paraId="7DE49EE7" w14:textId="77777777" w:rsidR="00896A63" w:rsidRDefault="00896A63" w:rsidP="0027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42064"/>
      <w:docPartObj>
        <w:docPartGallery w:val="Page Numbers (Bottom of Page)"/>
        <w:docPartUnique/>
      </w:docPartObj>
    </w:sdtPr>
    <w:sdtEndPr>
      <w:rPr>
        <w:noProof/>
      </w:rPr>
    </w:sdtEndPr>
    <w:sdtContent>
      <w:p w14:paraId="4CA603AC" w14:textId="30429362" w:rsidR="00E20F41" w:rsidRDefault="00E20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337EB" w14:textId="77777777" w:rsidR="00E20F41" w:rsidRDefault="00E2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9F98A" w14:textId="77777777" w:rsidR="00896A63" w:rsidRDefault="00896A63" w:rsidP="002702C6">
      <w:pPr>
        <w:spacing w:after="0" w:line="240" w:lineRule="auto"/>
      </w:pPr>
      <w:r>
        <w:separator/>
      </w:r>
    </w:p>
  </w:footnote>
  <w:footnote w:type="continuationSeparator" w:id="0">
    <w:p w14:paraId="1D0D88B7" w14:textId="77777777" w:rsidR="00896A63" w:rsidRDefault="00896A63" w:rsidP="0027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6816" w14:textId="6341237E" w:rsidR="00E20F41" w:rsidRDefault="00E20F41">
    <w:pPr>
      <w:pStyle w:val="Header"/>
    </w:pPr>
    <w:r>
      <w:t>Advice from CPIP National Network February 2022. Collated by S Dewhurst CPIP NN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06590"/>
    <w:multiLevelType w:val="multilevel"/>
    <w:tmpl w:val="2E7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046AC"/>
    <w:multiLevelType w:val="hybridMultilevel"/>
    <w:tmpl w:val="13DE913A"/>
    <w:lvl w:ilvl="0" w:tplc="E3F0FFF4">
      <w:start w:val="1"/>
      <w:numFmt w:val="bullet"/>
      <w:lvlText w:val=""/>
      <w:lvlJc w:val="left"/>
      <w:pPr>
        <w:tabs>
          <w:tab w:val="num" w:pos="720"/>
        </w:tabs>
        <w:ind w:left="720" w:hanging="360"/>
      </w:pPr>
      <w:rPr>
        <w:rFonts w:ascii="Wingdings 3" w:hAnsi="Wingdings 3" w:hint="default"/>
      </w:rPr>
    </w:lvl>
    <w:lvl w:ilvl="1" w:tplc="B78019F8" w:tentative="1">
      <w:start w:val="1"/>
      <w:numFmt w:val="bullet"/>
      <w:lvlText w:val=""/>
      <w:lvlJc w:val="left"/>
      <w:pPr>
        <w:tabs>
          <w:tab w:val="num" w:pos="1440"/>
        </w:tabs>
        <w:ind w:left="1440" w:hanging="360"/>
      </w:pPr>
      <w:rPr>
        <w:rFonts w:ascii="Wingdings 3" w:hAnsi="Wingdings 3" w:hint="default"/>
      </w:rPr>
    </w:lvl>
    <w:lvl w:ilvl="2" w:tplc="BF82635A" w:tentative="1">
      <w:start w:val="1"/>
      <w:numFmt w:val="bullet"/>
      <w:lvlText w:val=""/>
      <w:lvlJc w:val="left"/>
      <w:pPr>
        <w:tabs>
          <w:tab w:val="num" w:pos="2160"/>
        </w:tabs>
        <w:ind w:left="2160" w:hanging="360"/>
      </w:pPr>
      <w:rPr>
        <w:rFonts w:ascii="Wingdings 3" w:hAnsi="Wingdings 3" w:hint="default"/>
      </w:rPr>
    </w:lvl>
    <w:lvl w:ilvl="3" w:tplc="E69A4F22" w:tentative="1">
      <w:start w:val="1"/>
      <w:numFmt w:val="bullet"/>
      <w:lvlText w:val=""/>
      <w:lvlJc w:val="left"/>
      <w:pPr>
        <w:tabs>
          <w:tab w:val="num" w:pos="2880"/>
        </w:tabs>
        <w:ind w:left="2880" w:hanging="360"/>
      </w:pPr>
      <w:rPr>
        <w:rFonts w:ascii="Wingdings 3" w:hAnsi="Wingdings 3" w:hint="default"/>
      </w:rPr>
    </w:lvl>
    <w:lvl w:ilvl="4" w:tplc="4586BA8A" w:tentative="1">
      <w:start w:val="1"/>
      <w:numFmt w:val="bullet"/>
      <w:lvlText w:val=""/>
      <w:lvlJc w:val="left"/>
      <w:pPr>
        <w:tabs>
          <w:tab w:val="num" w:pos="3600"/>
        </w:tabs>
        <w:ind w:left="3600" w:hanging="360"/>
      </w:pPr>
      <w:rPr>
        <w:rFonts w:ascii="Wingdings 3" w:hAnsi="Wingdings 3" w:hint="default"/>
      </w:rPr>
    </w:lvl>
    <w:lvl w:ilvl="5" w:tplc="BA0CEA00" w:tentative="1">
      <w:start w:val="1"/>
      <w:numFmt w:val="bullet"/>
      <w:lvlText w:val=""/>
      <w:lvlJc w:val="left"/>
      <w:pPr>
        <w:tabs>
          <w:tab w:val="num" w:pos="4320"/>
        </w:tabs>
        <w:ind w:left="4320" w:hanging="360"/>
      </w:pPr>
      <w:rPr>
        <w:rFonts w:ascii="Wingdings 3" w:hAnsi="Wingdings 3" w:hint="default"/>
      </w:rPr>
    </w:lvl>
    <w:lvl w:ilvl="6" w:tplc="C220C562" w:tentative="1">
      <w:start w:val="1"/>
      <w:numFmt w:val="bullet"/>
      <w:lvlText w:val=""/>
      <w:lvlJc w:val="left"/>
      <w:pPr>
        <w:tabs>
          <w:tab w:val="num" w:pos="5040"/>
        </w:tabs>
        <w:ind w:left="5040" w:hanging="360"/>
      </w:pPr>
      <w:rPr>
        <w:rFonts w:ascii="Wingdings 3" w:hAnsi="Wingdings 3" w:hint="default"/>
      </w:rPr>
    </w:lvl>
    <w:lvl w:ilvl="7" w:tplc="DA301B44" w:tentative="1">
      <w:start w:val="1"/>
      <w:numFmt w:val="bullet"/>
      <w:lvlText w:val=""/>
      <w:lvlJc w:val="left"/>
      <w:pPr>
        <w:tabs>
          <w:tab w:val="num" w:pos="5760"/>
        </w:tabs>
        <w:ind w:left="5760" w:hanging="360"/>
      </w:pPr>
      <w:rPr>
        <w:rFonts w:ascii="Wingdings 3" w:hAnsi="Wingdings 3" w:hint="default"/>
      </w:rPr>
    </w:lvl>
    <w:lvl w:ilvl="8" w:tplc="5BCAF288"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F3A"/>
    <w:rsid w:val="00122F5C"/>
    <w:rsid w:val="002526BE"/>
    <w:rsid w:val="002702C6"/>
    <w:rsid w:val="00356249"/>
    <w:rsid w:val="00360E68"/>
    <w:rsid w:val="003C665A"/>
    <w:rsid w:val="003D1626"/>
    <w:rsid w:val="0052594F"/>
    <w:rsid w:val="005A48C8"/>
    <w:rsid w:val="00874F93"/>
    <w:rsid w:val="00896A63"/>
    <w:rsid w:val="00900892"/>
    <w:rsid w:val="009A034C"/>
    <w:rsid w:val="00B80F3A"/>
    <w:rsid w:val="00BE2EC8"/>
    <w:rsid w:val="00C236B6"/>
    <w:rsid w:val="00C546F6"/>
    <w:rsid w:val="00E20F41"/>
    <w:rsid w:val="00E965AC"/>
    <w:rsid w:val="00FB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AEDA"/>
  <w15:docId w15:val="{349D503E-5FB1-434D-A193-CEF6B991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paragraph"/>
    <w:basedOn w:val="Normal"/>
    <w:rsid w:val="00B80F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80F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B80F3A"/>
  </w:style>
  <w:style w:type="character" w:styleId="Hyperlink">
    <w:name w:val="Hyperlink"/>
    <w:basedOn w:val="DefaultParagraphFont"/>
    <w:uiPriority w:val="99"/>
    <w:unhideWhenUsed/>
    <w:rsid w:val="005A48C8"/>
    <w:rPr>
      <w:color w:val="0000FF"/>
      <w:u w:val="single"/>
    </w:rPr>
  </w:style>
  <w:style w:type="paragraph" w:styleId="ListParagraph">
    <w:name w:val="List Paragraph"/>
    <w:basedOn w:val="Normal"/>
    <w:uiPriority w:val="34"/>
    <w:qFormat/>
    <w:rsid w:val="005A48C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2C6"/>
  </w:style>
  <w:style w:type="paragraph" w:styleId="Footer">
    <w:name w:val="footer"/>
    <w:basedOn w:val="Normal"/>
    <w:link w:val="FooterChar"/>
    <w:uiPriority w:val="99"/>
    <w:unhideWhenUsed/>
    <w:rsid w:val="00270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2C6"/>
  </w:style>
  <w:style w:type="character" w:styleId="UnresolvedMention">
    <w:name w:val="Unresolved Mention"/>
    <w:basedOn w:val="DefaultParagraphFont"/>
    <w:uiPriority w:val="99"/>
    <w:semiHidden/>
    <w:unhideWhenUsed/>
    <w:rsid w:val="00E2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394271">
      <w:bodyDiv w:val="1"/>
      <w:marLeft w:val="0"/>
      <w:marRight w:val="0"/>
      <w:marTop w:val="0"/>
      <w:marBottom w:val="0"/>
      <w:divBdr>
        <w:top w:val="none" w:sz="0" w:space="0" w:color="auto"/>
        <w:left w:val="none" w:sz="0" w:space="0" w:color="auto"/>
        <w:bottom w:val="none" w:sz="0" w:space="0" w:color="auto"/>
        <w:right w:val="none" w:sz="0" w:space="0" w:color="auto"/>
      </w:divBdr>
      <w:divsChild>
        <w:div w:id="1296520349">
          <w:marLeft w:val="960"/>
          <w:marRight w:val="0"/>
          <w:marTop w:val="0"/>
          <w:marBottom w:val="0"/>
          <w:divBdr>
            <w:top w:val="none" w:sz="0" w:space="0" w:color="auto"/>
            <w:left w:val="none" w:sz="0" w:space="0" w:color="auto"/>
            <w:bottom w:val="none" w:sz="0" w:space="0" w:color="auto"/>
            <w:right w:val="none" w:sz="0" w:space="0" w:color="auto"/>
          </w:divBdr>
        </w:div>
      </w:divsChild>
    </w:div>
    <w:div w:id="1957907351">
      <w:bodyDiv w:val="1"/>
      <w:marLeft w:val="0"/>
      <w:marRight w:val="0"/>
      <w:marTop w:val="0"/>
      <w:marBottom w:val="0"/>
      <w:divBdr>
        <w:top w:val="none" w:sz="0" w:space="0" w:color="auto"/>
        <w:left w:val="none" w:sz="0" w:space="0" w:color="auto"/>
        <w:bottom w:val="none" w:sz="0" w:space="0" w:color="auto"/>
        <w:right w:val="none" w:sz="0" w:space="0" w:color="auto"/>
      </w:divBdr>
      <w:divsChild>
        <w:div w:id="816459694">
          <w:marLeft w:val="720"/>
          <w:marRight w:val="0"/>
          <w:marTop w:val="80"/>
          <w:marBottom w:val="0"/>
          <w:divBdr>
            <w:top w:val="none" w:sz="0" w:space="0" w:color="auto"/>
            <w:left w:val="none" w:sz="0" w:space="0" w:color="auto"/>
            <w:bottom w:val="none" w:sz="0" w:space="0" w:color="auto"/>
            <w:right w:val="none" w:sz="0" w:space="0" w:color="auto"/>
          </w:divBdr>
        </w:div>
        <w:div w:id="191260992">
          <w:marLeft w:val="720"/>
          <w:marRight w:val="0"/>
          <w:marTop w:val="80"/>
          <w:marBottom w:val="0"/>
          <w:divBdr>
            <w:top w:val="none" w:sz="0" w:space="0" w:color="auto"/>
            <w:left w:val="none" w:sz="0" w:space="0" w:color="auto"/>
            <w:bottom w:val="none" w:sz="0" w:space="0" w:color="auto"/>
            <w:right w:val="none" w:sz="0" w:space="0" w:color="auto"/>
          </w:divBdr>
        </w:div>
        <w:div w:id="1384911768">
          <w:marLeft w:val="720"/>
          <w:marRight w:val="0"/>
          <w:marTop w:val="80"/>
          <w:marBottom w:val="0"/>
          <w:divBdr>
            <w:top w:val="none" w:sz="0" w:space="0" w:color="auto"/>
            <w:left w:val="none" w:sz="0" w:space="0" w:color="auto"/>
            <w:bottom w:val="none" w:sz="0" w:space="0" w:color="auto"/>
            <w:right w:val="none" w:sz="0" w:space="0" w:color="auto"/>
          </w:divBdr>
        </w:div>
        <w:div w:id="301234200">
          <w:marLeft w:val="720"/>
          <w:marRight w:val="0"/>
          <w:marTop w:val="80"/>
          <w:marBottom w:val="0"/>
          <w:divBdr>
            <w:top w:val="none" w:sz="0" w:space="0" w:color="auto"/>
            <w:left w:val="none" w:sz="0" w:space="0" w:color="auto"/>
            <w:bottom w:val="none" w:sz="0" w:space="0" w:color="auto"/>
            <w:right w:val="none" w:sz="0" w:space="0" w:color="auto"/>
          </w:divBdr>
        </w:div>
        <w:div w:id="433869268">
          <w:marLeft w:val="720"/>
          <w:marRight w:val="0"/>
          <w:marTop w:val="80"/>
          <w:marBottom w:val="0"/>
          <w:divBdr>
            <w:top w:val="none" w:sz="0" w:space="0" w:color="auto"/>
            <w:left w:val="none" w:sz="0" w:space="0" w:color="auto"/>
            <w:bottom w:val="none" w:sz="0" w:space="0" w:color="auto"/>
            <w:right w:val="none" w:sz="0" w:space="0" w:color="auto"/>
          </w:divBdr>
        </w:div>
        <w:div w:id="1846238878">
          <w:marLeft w:val="72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62/chapter/Recommend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ipu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gela.Wing@wales.nhs.uk" TargetMode="External"/><Relationship Id="rId4" Type="http://schemas.openxmlformats.org/officeDocument/2006/relationships/settings" Target="settings.xml"/><Relationship Id="rId9" Type="http://schemas.openxmlformats.org/officeDocument/2006/relationships/hyperlink" Target="https://apcp.csp.org.uk/content/recorded-webinar-bone-heal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C943-4D37-40AC-A27D-AC103FE4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Dewhurst - Senior Physiotherapist - SFH-KMH</dc:creator>
  <cp:lastModifiedBy>DEWHURST, Sarah (SHERWOOD FOREST HOSPITALS NHS FOUNDATION TRUST)</cp:lastModifiedBy>
  <cp:revision>13</cp:revision>
  <dcterms:created xsi:type="dcterms:W3CDTF">2022-02-18T23:12:00Z</dcterms:created>
  <dcterms:modified xsi:type="dcterms:W3CDTF">2022-03-07T21:53:00Z</dcterms:modified>
</cp:coreProperties>
</file>